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="-28" w:vertAnchor="page" w:tblpY="1141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27"/>
      </w:tblGrid>
      <w:tr>
        <w:tblPrEx/>
        <w:trPr>
          <w:trHeight w:val="439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27" w:type="dxa"/>
            <w:vAlign w:val="top"/>
            <w:textDirection w:val="lrTb"/>
            <w:noWrap w:val="false"/>
          </w:tcPr>
          <w:p>
            <w:pPr>
              <w:pStyle w:val="925"/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  <w:highlight w:val="none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ФЕДЕРАЛЬНАЯ СЛУЖБА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25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ГОСУДАРСТВЕННОЙ РЕГИСТРАЦИИ,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25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КАДАСТРА И КАРТОГРАФИИ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25"/>
              <w:ind w:firstLine="0"/>
              <w:jc w:val="center"/>
              <w:tabs>
                <w:tab w:val="left" w:pos="2977" w:leader="none"/>
              </w:tabs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(РОСРЕЕСТР)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25"/>
              <w:ind w:firstLine="0"/>
              <w:jc w:val="center"/>
              <w:spacing w:before="120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25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регистрации, кадастра и картографии по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25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Новосибирской области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25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(Управление Росреестра  по Новосибирской области)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25"/>
              <w:ind w:firstLine="0"/>
              <w:jc w:val="center"/>
              <w:spacing w:before="120"/>
              <w:tabs>
                <w:tab w:val="left" w:pos="315" w:leader="none"/>
                <w:tab w:val="left" w:pos="567" w:leader="none"/>
                <w:tab w:val="left" w:pos="1418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</w:rPr>
              <w:t xml:space="preserve">ул. Державина, д.28, г. Новосибирск, 630091</w:t>
              <w:br w:type="textWrapping" w:clear="all"/>
              <w:t xml:space="preserve">тел. </w:t>
            </w:r>
            <w:r>
              <w:rPr>
                <w:sz w:val="20"/>
                <w:szCs w:val="20"/>
                <w:lang w:val="en-US"/>
              </w:rPr>
              <w:t xml:space="preserve">(383) 2271087, </w:t>
            </w:r>
            <w:r>
              <w:rPr>
                <w:sz w:val="20"/>
                <w:szCs w:val="20"/>
              </w:rPr>
              <w:t xml:space="preserve">факс</w:t>
            </w:r>
            <w:r>
              <w:rPr>
                <w:sz w:val="20"/>
                <w:szCs w:val="20"/>
                <w:lang w:val="en-US"/>
              </w:rPr>
              <w:t xml:space="preserve"> (383) 2271009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25"/>
              <w:ind w:firstLine="0"/>
              <w:jc w:val="center"/>
              <w:tabs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fldChar w:fldCharType="begin"/>
            </w:r>
            <w:r>
              <w:rPr>
                <w:lang w:val="en-US"/>
              </w:rPr>
              <w:instrText xml:space="preserve">HYPERLINK "mailto:54_upr@rosreestr.ru"</w:instrText>
            </w:r>
            <w:r>
              <w:fldChar w:fldCharType="separate"/>
            </w:r>
            <w:r>
              <w:rPr>
                <w:rStyle w:val="951"/>
                <w:color w:val="000000"/>
                <w:sz w:val="20"/>
                <w:szCs w:val="20"/>
                <w:u w:val="none"/>
                <w:lang w:val="en-US"/>
              </w:rPr>
              <w:t xml:space="preserve">54_upr@rosreestr.ru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fldChar w:fldCharType="begin"/>
            </w:r>
            <w:r>
              <w:rPr>
                <w:lang w:val="en-US"/>
              </w:rPr>
              <w:instrText xml:space="preserve">HYPERLINK "http://www.rosreestr.gov.ru"</w:instrText>
            </w:r>
            <w:r>
              <w:fldChar w:fldCharType="separate"/>
            </w:r>
            <w:r>
              <w:rPr>
                <w:rStyle w:val="994"/>
                <w:sz w:val="20"/>
                <w:szCs w:val="20"/>
                <w:lang w:val="en-US"/>
              </w:rPr>
              <w:t xml:space="preserve">http://www.rosreestr.gov.ru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25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25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25"/>
              <w:ind w:firstLine="0"/>
              <w:tabs>
                <w:tab w:val="left" w:pos="4678" w:leader="none"/>
              </w:tabs>
              <w:rPr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  <w:lang w:val="en-US"/>
              </w:rPr>
              <w:t xml:space="preserve">_____________</w:t>
            </w:r>
            <w:r>
              <w:rPr>
                <w:sz w:val="22"/>
                <w:szCs w:val="22"/>
                <w:lang w:val="en-US"/>
              </w:rPr>
              <w:t xml:space="preserve">________№____________________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5"/>
              <w:ind w:firstLine="0"/>
              <w:rPr>
                <w:sz w:val="22"/>
                <w:szCs w:val="22"/>
                <w:lang w:val="en-US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25"/>
              <w:ind w:firstLine="0"/>
              <w:tabs>
                <w:tab w:val="left" w:pos="4678" w:leader="none"/>
                <w:tab w:val="left" w:pos="4820" w:leader="none"/>
                <w:tab w:val="left" w:pos="5103" w:leader="none"/>
              </w:tabs>
              <w:rPr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</w:rPr>
              <w:t xml:space="preserve">на № </w:t>
            </w:r>
            <w:r>
              <w:rPr>
                <w:sz w:val="22"/>
                <w:szCs w:val="22"/>
              </w:rPr>
              <w:t xml:space="preserve">_</w:t>
            </w:r>
            <w:r>
              <w:rPr>
                <w:sz w:val="22"/>
                <w:szCs w:val="22"/>
                <w:u w:val="single"/>
              </w:rPr>
              <w:t xml:space="preserve">______________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от___</w:t>
            </w:r>
            <w:r>
              <w:rPr>
                <w:sz w:val="22"/>
                <w:szCs w:val="22"/>
                <w:u w:val="single"/>
              </w:rPr>
              <w:t xml:space="preserve">_________</w:t>
            </w:r>
            <w:r>
              <w:rPr>
                <w:sz w:val="22"/>
                <w:szCs w:val="22"/>
              </w:rPr>
              <w:t xml:space="preserve">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25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-442890</wp:posOffset>
                </wp:positionH>
                <wp:positionV relativeFrom="paragraph">
                  <wp:posOffset>0</wp:posOffset>
                </wp:positionV>
                <wp:extent cx="3052445" cy="2592799"/>
                <wp:effectExtent l="6350" t="6350" r="6350" b="6350"/>
                <wp:wrapNone/>
                <wp:docPr id="1" name="_x0000_s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052444" cy="25927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25"/>
                              <w:ind w:left="-142" w:right="0" w:firstLine="425"/>
                              <w:jc w:val="center"/>
                              <w:tabs>
                                <w:tab w:val="left" w:pos="3828" w:leader="none"/>
                                <w:tab w:val="left" w:pos="4111" w:leader="none"/>
                                <w:tab w:val="left" w:pos="4253" w:leader="none"/>
                                <w:tab w:val="left" w:pos="48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ind w:left="-142" w:right="834" w:firstLine="425"/>
                              <w:jc w:val="center"/>
                            </w:pPr>
                            <w:r>
                              <w:rPr>
                                <w:highlight w:val="none"/>
                              </w:rPr>
                            </w:r>
                            <w:r>
                              <w:rPr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925"/>
                              <w:ind w:left="-142" w:right="834" w:firstLine="425"/>
                              <w:jc w:val="center"/>
                              <w:rPr>
                                <w:highlight w:val="none"/>
                              </w:rPr>
                            </w:pPr>
                            <w:r>
                              <w:t xml:space="preserve">Директорам </w:t>
                            </w:r>
                            <w:r>
                              <w:t xml:space="preserve">саморегулируемых </w:t>
                            </w:r>
                            <w:r>
                              <w:rPr>
                                <w:highlight w:val="none"/>
                              </w:rPr>
                            </w:r>
                            <w:r>
                              <w:rPr>
                                <w:highlight w:val="none"/>
                              </w:rPr>
                            </w:r>
                          </w:p>
                          <w:p>
                            <w:pPr>
                              <w:pStyle w:val="925"/>
                              <w:ind w:left="-142" w:right="834" w:firstLine="425"/>
                              <w:jc w:val="center"/>
                            </w:pPr>
                            <w:r>
                              <w:t xml:space="preserve">организаций кадастровых </w:t>
                            </w:r>
                            <w:r/>
                          </w:p>
                          <w:p>
                            <w:pPr>
                              <w:pStyle w:val="925"/>
                              <w:ind w:left="-142" w:right="834" w:firstLine="425"/>
                              <w:jc w:val="center"/>
                            </w:pPr>
                            <w:r>
                              <w:t xml:space="preserve">инженеров</w:t>
                            </w:r>
                            <w:r/>
                          </w:p>
                          <w:p>
                            <w:pPr>
                              <w:pStyle w:val="925"/>
                              <w:ind w:left="-142" w:right="834" w:firstLine="425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25"/>
                              <w:ind w:left="-142" w:right="834" w:firstLine="425"/>
                              <w:jc w:val="center"/>
                            </w:pPr>
                            <w:r>
                              <w:t xml:space="preserve">(по списку)</w:t>
                            </w:r>
                            <w:r/>
                          </w:p>
                          <w:p>
                            <w:pPr>
                              <w:pStyle w:val="925"/>
                              <w:ind w:left="-142" w:right="0" w:firstLine="425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25"/>
                              <w:ind w:left="-1276" w:right="2398" w:firstLine="851"/>
                            </w:pPr>
                            <w:r/>
                            <w:r/>
                          </w:p>
                          <w:p>
                            <w:pPr>
                              <w:pStyle w:val="925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524288;o:allowoverlap:true;o:allowincell:true;mso-position-horizontal-relative:text;margin-left:-34.87pt;mso-position-horizontal:absolute;mso-position-vertical-relative:text;margin-top:0.00pt;mso-position-vertical:absolute;width:240.35pt;height:204.16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pStyle w:val="925"/>
                        <w:ind w:left="-142" w:right="0" w:firstLine="425"/>
                        <w:jc w:val="center"/>
                        <w:tabs>
                          <w:tab w:val="left" w:pos="3828" w:leader="none"/>
                          <w:tab w:val="left" w:pos="4111" w:leader="none"/>
                          <w:tab w:val="left" w:pos="4253" w:leader="none"/>
                          <w:tab w:val="left" w:pos="4820" w:leader="none"/>
                        </w:tabs>
                      </w:pPr>
                      <w:r/>
                      <w:r/>
                    </w:p>
                    <w:p>
                      <w:pPr>
                        <w:ind w:left="-142" w:right="834" w:firstLine="425"/>
                        <w:jc w:val="center"/>
                      </w:pPr>
                      <w:r>
                        <w:rPr>
                          <w:highlight w:val="none"/>
                        </w:rPr>
                      </w:r>
                      <w:r>
                        <w:rPr>
                          <w:highlight w:val="none"/>
                        </w:rPr>
                      </w:r>
                      <w:r/>
                    </w:p>
                    <w:p>
                      <w:pPr>
                        <w:pStyle w:val="925"/>
                        <w:ind w:left="-142" w:right="834" w:firstLine="425"/>
                        <w:jc w:val="center"/>
                        <w:rPr>
                          <w:highlight w:val="none"/>
                        </w:rPr>
                      </w:pPr>
                      <w:r>
                        <w:t xml:space="preserve">Директорам </w:t>
                      </w:r>
                      <w:r>
                        <w:t xml:space="preserve">саморегулируемых </w:t>
                      </w:r>
                      <w:r>
                        <w:rPr>
                          <w:highlight w:val="none"/>
                        </w:rPr>
                      </w:r>
                      <w:r>
                        <w:rPr>
                          <w:highlight w:val="none"/>
                        </w:rPr>
                      </w:r>
                    </w:p>
                    <w:p>
                      <w:pPr>
                        <w:pStyle w:val="925"/>
                        <w:ind w:left="-142" w:right="834" w:firstLine="425"/>
                        <w:jc w:val="center"/>
                      </w:pPr>
                      <w:r>
                        <w:t xml:space="preserve">организаций кадастровых </w:t>
                      </w:r>
                      <w:r/>
                    </w:p>
                    <w:p>
                      <w:pPr>
                        <w:pStyle w:val="925"/>
                        <w:ind w:left="-142" w:right="834" w:firstLine="425"/>
                        <w:jc w:val="center"/>
                      </w:pPr>
                      <w:r>
                        <w:t xml:space="preserve">инженеров</w:t>
                      </w:r>
                      <w:r/>
                    </w:p>
                    <w:p>
                      <w:pPr>
                        <w:pStyle w:val="925"/>
                        <w:ind w:left="-142" w:right="834" w:firstLine="425"/>
                        <w:jc w:val="center"/>
                      </w:pPr>
                      <w:r/>
                      <w:r/>
                    </w:p>
                    <w:p>
                      <w:pPr>
                        <w:pStyle w:val="925"/>
                        <w:ind w:left="-142" w:right="834" w:firstLine="425"/>
                        <w:jc w:val="center"/>
                      </w:pPr>
                      <w:r>
                        <w:t xml:space="preserve">(по списку)</w:t>
                      </w:r>
                      <w:r/>
                    </w:p>
                    <w:p>
                      <w:pPr>
                        <w:pStyle w:val="925"/>
                        <w:ind w:left="-142" w:right="0" w:firstLine="425"/>
                        <w:jc w:val="center"/>
                      </w:pPr>
                      <w:r/>
                      <w:r/>
                    </w:p>
                    <w:p>
                      <w:pPr>
                        <w:pStyle w:val="925"/>
                        <w:ind w:left="-1276" w:right="2398" w:firstLine="851"/>
                      </w:pPr>
                      <w:r/>
                      <w:r/>
                    </w:p>
                    <w:p>
                      <w:pPr>
                        <w:pStyle w:val="925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25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25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25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25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25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25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25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25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25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25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25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25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ind w:firstLine="0"/>
      </w:pPr>
      <w:r/>
      <w:r/>
    </w:p>
    <w:p>
      <w:pPr>
        <w:ind w:firstLine="0"/>
      </w:pPr>
      <w:r/>
      <w:r/>
    </w:p>
    <w:p>
      <w:pPr>
        <w:contextualSpacing/>
        <w:ind w:firstLine="0"/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 разъяснении положений по уплате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</w:p>
    <w:p>
      <w:pPr>
        <w:contextualSpacing/>
        <w:ind w:firstLine="0"/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государственной пошлины, внесенных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</w:p>
    <w:p>
      <w:pPr>
        <w:contextualSpacing/>
        <w:ind w:firstLine="0"/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Законом № 275-ФЗ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</w:p>
    <w:p>
      <w:pPr>
        <w:pStyle w:val="925"/>
        <w:ind w:firstLine="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925"/>
        <w:ind w:right="-2" w:firstLine="0"/>
        <w:spacing w:line="240" w:lineRule="auto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0"/>
        <w:jc w:val="center"/>
        <w:spacing w:line="264" w:lineRule="auto"/>
        <w:rPr>
          <w:color w:val="000000"/>
        </w:rPr>
      </w:pPr>
      <w:r>
        <w:rPr>
          <w:color w:val="000000"/>
        </w:rPr>
        <w:t xml:space="preserve">Уважаемые коллеги!</w:t>
      </w:r>
      <w:r>
        <w:rPr>
          <w:color w:val="000000"/>
        </w:rPr>
      </w:r>
      <w:r>
        <w:rPr>
          <w:color w:val="000000"/>
        </w:rPr>
      </w:r>
    </w:p>
    <w:p>
      <w:pPr>
        <w:pStyle w:val="925"/>
        <w:spacing w:line="264" w:lineRule="auto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contextualSpacing/>
        <w:ind w:left="0" w:right="0" w:firstLine="708"/>
        <w:jc w:val="both"/>
        <w:spacing w:before="0" w:after="0" w:line="264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 дополнение к ранее направленному письму Управления Росреестра по Новосибирской области (далее – Управление)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08.08.2025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                            №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01-37-8892/25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Об изменении (дополнении) в ст. 333.33 НК РФ,                 ст. 333.34-1 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К РФ, ст. 333.35 НК РФ, ст. 333.40 НК РФ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» направляем письмо Росреестра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от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22.08.2025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№ 14-8484-ТГ/25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об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уплате государственной пошлины за государственный кадастровый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учет и (или) государственную регистрацию прав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(далее – ГКУ, ГРП)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на недвижимое имущес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тво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 связи с вступлением в силу (с 31.07.2025 и 31.08.2025) положений Федерального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закона от 31.07.2025 № 275-ФЗ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«О внесении изменений в главу 25.3 части второй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Налогового кодекса Российской Федерации» (далее – Закон                      № 275-ФЗ, НК РФ).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1. В подпункты 22 (абзацы третий, четвертый, шестой, седьмой), 22.1 (абзацы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второй и третий) пункта 1 статьи 333.33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НК РФ внесены изменения, касающиеся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порядка расчета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государственной пошлины для случаев, когда предметом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регистрируемых прав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(предметом сделки)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является доля в праве общей собственности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на объект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недвижимости и размер государственной пошлины определяется исходя из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кадастровой стоимости – в таких ситуациях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для расчета используется часть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кадастровой стоимости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, соответствующая размеру доли в праве общей долевой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собственности на объект недвижимости.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Например: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pStyle w:val="765"/>
        <w:numPr>
          <w:ilvl w:val="0"/>
          <w:numId w:val="48"/>
        </w:numPr>
        <w:contextualSpacing/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физическим лицом приобретается 1/100 доля в праве общей долевой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собственности на здание, кадастровая стоимость которого составляет 100 млн. руб.,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размер государственной пошлины будет составлять 4 000 руб., поскольку часть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кадастровой стоимости (100 000 000*1/100=10 000 000) не превышает 20 млн. руб.;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pStyle w:val="765"/>
        <w:numPr>
          <w:ilvl w:val="0"/>
          <w:numId w:val="48"/>
        </w:numPr>
        <w:contextualSpacing/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юридическим лицом приобретается ¼ доля в праве общей долевой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собственности на здание, кадастровая стоимость которого составляет 100 млн. руб.,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размер государственной пошлины, поскольку часть кадастровой стоимости,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соответствующая размеру доли в праве (100 000 000*1/4=25 000 000), превышает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22 млн. руб., будет составлять 50 000 руб. (100 000 000*1/4*0,2%) (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 данном примере, если 50 000 руб. - это равно или более суммы, составляющей 0,2% от цены договора).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Указанные положения не связаны с возможностью/невозможностью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применения пункта 2 статьи 333.18 НК РФ в случае обращения за совершением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юридически значимых действий нескольких лиц.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Действие положений абзацев третьего, четвертого, шестого и седьмого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подпункта 22 и подпункта 22.1 пункта 1 статьи 333.33 НК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РФ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(в редакции Закона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№ 275-ФЗ)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распространяется на правоотношения, возникшие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 01.01.2025.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Соответственно, государственная пошлина, уплаченная в большем размере (исходя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из кадастровой стоимости объекта недвижимости в целом), частично подлежит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возврату (подпункт 1 пункта 1 статьи 333.40 НК).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2. Уточнены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положения подпункта 22.2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пункта 1 статьи 333.33 НК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РФ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в части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распространения его на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осуществление ГКУ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объектов незавершенного строительств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(создаваемых объектов). Размер государственной пошлины составляет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для физических лиц - 2000 рублей,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для организаций - 22 000 рублей.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3. Уточнены положения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подпунктов 24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24.1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пункта 1 статьи 333.33 НК РФ , в частности,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установлена госпошлина за ГКУ или ГРП на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земельный участок, предназначенный для ведения крестьянским (фермерским) хозяйством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 своей деятельности, в размере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700 рублей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, а за одновременный ГКУ и ГРП - в размере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</w:rPr>
        <w:t xml:space="preserve">1000 рублей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.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4. Пункт 1 статьи 333.33 НК РФ дополнен новым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подпунктом 26.2,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устанавливающим специальный размер государственной пошлины (4 000 руб.) за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осуществляемые одновременно ГКУ и ГРП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(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единая процедура) на объекты сетей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газораспределения и сетей газопотребления,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созданные при выполнении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мероприятий по подключению (технологическому присоединению) объектов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капитального строительства.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5. Уточнены положения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подпункта 27.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2 пункта 1 статьи 333.33 НК РФ в части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распространения его на действия на г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осударственную регистрацию д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оговоров безвозмездного пользования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, в том числе договоров аренды, безвозмездного пользования частями объектов недвижимости, регистрация которых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осуществляется одновременно с ГКУ таких частей объектов недвижимости (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для физических лиц - 4000 рублей,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для организаций - 44 000 рублей).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6. Уточнены положения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подпункта 31 пункта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1 статьи 333.33 НК РФ в части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распространения его действия на государственную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регистрацию сервитутов,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предусматривающих право ограниченного пользования частями земельных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участков, которая осуще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ствляется одновременно с ГКУ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таких частей земельных участков (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 интересах физических лиц - 1 500 рублей,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 интересах организаций - 6 000 рублей)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iCs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7.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Статья 333.34-1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НК РФ дополнена положениями, предусматривающими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следующие особенности взимания государственной пошлины при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осуществлении.</w:t>
      </w:r>
      <w:r>
        <w:rPr>
          <w:b w:val="0"/>
          <w:bCs w:val="0"/>
          <w:i w:val="0"/>
          <w:iCs w:val="0"/>
          <w:u w:val="none"/>
        </w:rPr>
      </w:r>
      <w:r>
        <w:rPr>
          <w:b w:val="0"/>
          <w:bCs w:val="0"/>
          <w:i w:val="0"/>
          <w:iCs w:val="0"/>
          <w:u w:val="none"/>
        </w:rPr>
      </w:r>
    </w:p>
    <w:p>
      <w:pPr>
        <w:contextualSpacing/>
        <w:ind w:left="0" w:right="0" w:firstLine="698"/>
        <w:jc w:val="both"/>
        <w:spacing w:after="0" w:line="264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 случае, если при осуществлении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ГКУ созданных (образованных) здания, сооружения одновременно осуществляются ГКУ всех расположенных в них помещений и (или) машино-мест,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в том числе помещений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, относящихся к имуществу общего пользования,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и ГРП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на такие помещения и (или) машино-места, государственная пошлина уплачивается за осуществление ГКУ здания, сооружения в размере, предусмотренно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м подпунктом 22.2 пункта 1 статьи 333.33 НК РФ, и за осуществление ГРП прав на каждое такое помещение и (или) каждое такое машино-место в размере, предусмотренном подпунктом 22 пункта 1 статьи 333.33НК РФ.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Государственная пошлина за осуществление ГКУ помещений и (или) машино-мест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в данном случае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не уплачивается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(пункт 1.1);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contextualSpacing/>
        <w:ind w:left="0" w:right="0" w:firstLine="698"/>
        <w:jc w:val="both"/>
        <w:spacing w:after="0" w:line="264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 случае, если в результате реконструкции здания, сооружения, строительства здания, сооружения, проводимых поэтапно,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изменены их параметры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(количество этажей, площадь, высота, произведены надстройка, перестройка, расширение),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 связи с чем осуществляются ГКУ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изменений характеристик таких здания,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сооружения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и одновременно ГКУ изменений характеристик расположенных в них помещений, машино-мест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и (или) одновременно ГКУ создан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ных (образованных) помещений, машино-мест и ГРП на них, уплачивается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государственная пошлина, предусмотренная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подпунктом 22.3 пункта 1 статьи 333.33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НК РФ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(для физических лиц - 1000 рублей,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для организаций - 2000 рублей)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за осуществление ГКУ в связи с изменением характеристик таких здания, сооружения, а также государственная пошлина, предусмотренная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подпунктом 22 пункта 1 статьи 333.33 НК РФ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за осуществление ГРП в отношении каждого созданного (образованного) помещения, машино-места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(пункт 3).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8. Уточнены положения статьи 333.35 НК РФ, а именно: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а) установлено, что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федеральные органы государственной власти, органы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государственной власти субъектов Российской Федерации, органы местного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самоуправления,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органы публичной власти федеральной территории «Сириус»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освобождаются от уплаты государственной пошлины только при их обращении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за совершением юридически значимых действи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й, установленных главой 25.3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НК РФ,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 отношении таких органов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(подпункт 4 пункта 1). 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Соответственно, в случае, если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указанные органы обращаются за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осуществлением ГКУ и (или) ГРП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в отношении иных лиц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(в частности, в соответствии со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статьей 19 Федерального закона от 13.07.2015 № 218-ФЗ «О государственной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регистрации недвижимости», далее – Закон № 218-ФЗ),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государственная пошлина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уплачивается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в размерах, предусмотренных статьей 333.33 НК, если иное не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установлено статьей 333.35 НК РФ. 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 этой связи Росреестр также отмечает, что направленные письмом Росреестра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от 01.08.2025 № 14-7749-ТГ/25 рекомендации в части отсутствия необходимости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уплаты государственной пошлины, если соответствующее заявление в орган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регистрации прав представлено уполномоченным органом государственной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власти, органом местного самоуправления,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не подлежат применению с 31.08.2025;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iCs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б) предусмотренная подпунктом 16 пункта 1 статьи 333.35 НК РФ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льгота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по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уплате государственной пошлины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распространяется также на действия по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осуществлению ГКУ и (или) ГРП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собственности в отношении жилого помещения, созданного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 связи с реализацией мер социальной поддержки взамен жилых помещений,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утраченных вследствие чрезвычайной ситуации;</w:t>
      </w:r>
      <w:r>
        <w:rPr>
          <w:b w:val="0"/>
          <w:bCs w:val="0"/>
          <w:i w:val="0"/>
          <w:iCs w:val="0"/>
          <w:u w:val="none"/>
        </w:rPr>
      </w:r>
      <w:r>
        <w:rPr>
          <w:b w:val="0"/>
          <w:bCs w:val="0"/>
          <w:i w:val="0"/>
          <w:iCs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в)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перечень лиц, которые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освобождаются от уплаты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государственной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пошлины,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дополнен участниками специальной военной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операции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определенными в подпункте 2 пункта 5 статьи 333.35 НК РФ. Указанные лица не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уплачивают государственную пошлину за ГКУ 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(или) ГРП на принадлежащие им или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приобретаемые ими объекты недвижимости в соответствии с подпунктами 22,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22.2 - 22.4, 24 - 26, 27, 27.2 - 31 пункта 1 статьи 333.33 НК РФ (подпункт 20 пункта 1);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г) к случаям, при которых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государственная пошлина не уплачивается,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отнесены: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-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ГКУ земельных участков, используемых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для северного оленеводства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(подпункт 4.2 пункта 3);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-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ГКУ в связи с прекращением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существования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объекта недвижимого имущества (подпункт 8.1 пункта 3);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-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ГКУ автомобильных дорог, переданных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в доверительное управление юридическому лицу,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созданному в организационно-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правовой форме государственной компании, и земельных участков,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предоставленных в аренду указанному юридическому лицу (подпункт 11 пункта 3);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-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ГКУ объектов недвижимости Союзного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государства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, в том числе при единой процедуре, изменении характеристик объекта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недвижимости (подпункт 25 пункта 3);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-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внесение изменений и дополнений в регистрационную запись об ипотеке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в соответствии с пунктом 1.1 статьи 13.1, пунктом 1.1 статьи 13.4, пунктом 1.1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статьи 13.6 Федерального закона от 16.07.1998 № 102-ФЗ «Об ипотеке (залоге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недвижимости)» (подпункт 33 пункта 3);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-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ГРП в праве общей собственности на общее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недвижимое имущество в границах территории ведения гражданами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садоводства или огородничества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для собственных нужд, территории гаражного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назначения, территории малоэтажного жилого комплекса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(подпункт 39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пункта 3);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-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ГКУ объектов недвижимости,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осуществляемый на основании карты-плана территории,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подготовленной по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результатам выполнения комплексных кадастровых работ (подпункт 42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пункта 3);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- за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ГКУ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относящегося к государственной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или муниципальной собственности земельного участка в связи с его образованием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или уточнением его границ в случае обращения с заявлением об осуществлении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таких действий заинтересованных лиц,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предусмотренных Земельным кодексом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Российской Федерации (подпункт 39 пункта 3). Так, пункт 18 статьи 11.10,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подпункт 12 пункта 9, подпункт 5 пункта 13 статьи 39.15, пункт 11 статьи 39.29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Земельного кодекса Российской Федерации предусматривают возможность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обращения без доверенности лица, обратившегося с заявлением об утверждении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схемы расположения земельного участка или о предварительном согласовании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предоставления земельного участка, либо кадастрового инженера с заявлением об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осуществлении ГКУ испрашиваемого земельного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участка (при наличии соответствующего указания в решении о предварительном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согласовании предоставления земельного участка либо решении об утверждении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схемы расположения земельного участка).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</w:p>
    <w:p>
      <w:pPr>
        <w:contextualSpacing/>
        <w:ind w:left="0" w:right="0" w:firstLine="709"/>
        <w:jc w:val="both"/>
        <w:spacing w:after="0" w:line="264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9. Уточнены положения пункта 4 статьи 333.40 НК, касающиеся возврата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государственной пошлины, уплаченной за осуществление ГКУ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и (или) ГРП, в частности: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</w:rPr>
      </w:r>
    </w:p>
    <w:p>
      <w:pPr>
        <w:pStyle w:val="765"/>
        <w:numPr>
          <w:ilvl w:val="0"/>
          <w:numId w:val="49"/>
        </w:numPr>
        <w:contextualSpacing/>
        <w:ind w:left="0" w:right="0" w:firstLine="709"/>
        <w:jc w:val="both"/>
        <w:spacing w:after="0" w:line="264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не подлежит возврату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уплаченная в соответствии с пунктом 1.1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статьи 333.33 НК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государственная пошлина за ускоренное осуществление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ГКУ и (или) ГРП в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случае приостановления учетно-регистрационных действий.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Если же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учетно-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регистрационные действия не были осуществлены за один рабочий день по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причине, не связанной с приостановлением осуществления ГКУ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и (или) ГРП, возвращается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половина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уплаченной государственной пошлины;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14:ligatures w14:val="none"/>
        </w:rPr>
      </w:r>
    </w:p>
    <w:p>
      <w:pPr>
        <w:pStyle w:val="765"/>
        <w:numPr>
          <w:ilvl w:val="0"/>
          <w:numId w:val="49"/>
        </w:numPr>
        <w:contextualSpacing/>
        <w:ind w:left="0" w:right="0" w:firstLine="709"/>
        <w:jc w:val="both"/>
        <w:spacing w:after="0" w:line="264" w:lineRule="auto"/>
        <w:rPr>
          <w:b w:val="0"/>
          <w:bCs w:val="0"/>
          <w:i w:val="0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половина уплаченной государственной пошлины возвращается также при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прекращении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в соответствии со статьей 31 Закона № 218-ФЗ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осуществления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ГК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  <w:lang w:eastAsia="ru-RU"/>
          <w14:ligatures w14:val="none"/>
        </w:rPr>
        <w:t xml:space="preserve"> объекта недвижимости.
</w:t>
      </w:r>
      <w:r>
        <w:rPr>
          <w:b w:val="0"/>
          <w:bCs w:val="0"/>
          <w:i w:val="0"/>
          <w:u w:val="none"/>
        </w:rPr>
      </w:r>
      <w:r>
        <w:rPr>
          <w:b w:val="0"/>
          <w:bCs w:val="0"/>
          <w:i w:val="0"/>
          <w:u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b w:val="0"/>
          <w:bCs w:val="0"/>
          <w:i w:val="0"/>
          <w:u w:val="none"/>
        </w:rPr>
      </w:r>
    </w:p>
    <w:p>
      <w:pPr>
        <w:pStyle w:val="925"/>
        <w:spacing w:line="264" w:lineRule="auto"/>
      </w:pPr>
      <w:r>
        <w:rPr>
          <w:lang w:eastAsia="ru-RU"/>
        </w:rPr>
        <w:t xml:space="preserve">Просим довести вышеуказанную информацию до сведения кадастровых инженеров.</w:t>
      </w:r>
      <w:r/>
    </w:p>
    <w:p>
      <w:pPr>
        <w:pStyle w:val="925"/>
        <w:spacing w:line="264" w:lineRule="auto"/>
      </w:pPr>
      <w:r/>
      <w:r/>
    </w:p>
    <w:p>
      <w:pPr>
        <w:pStyle w:val="925"/>
        <w:spacing w:line="264" w:lineRule="auto"/>
      </w:pPr>
      <w:r/>
      <w:r/>
    </w:p>
    <w:p>
      <w:pPr>
        <w:ind w:left="0" w:right="0" w:firstLine="0"/>
        <w:jc w:val="both"/>
        <w:spacing w:after="0" w:line="264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Приложение: 1.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Закон № 275-ФЗ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на 10 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Закон № 275-ФЗ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.dox, 45,02 Kб;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r>
    </w:p>
    <w:p>
      <w:pPr>
        <w:contextualSpacing/>
        <w:ind w:left="1701" w:right="0" w:firstLine="0"/>
        <w:jc w:val="both"/>
        <w:spacing w:after="0" w:line="264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Письмо Росреестра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22.08.2025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 № 14-8484-ТГ/25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на 5 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  <w:t xml:space="preserve"> О разъяснении положений по уплате госпошлины, внесенных Законом № 275-ФЗ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.pdf, 516,75 Kб.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r>
    </w:p>
    <w:p>
      <w:pPr>
        <w:contextualSpacing/>
        <w:jc w:val="center"/>
        <w:spacing w:after="0" w:line="264" w:lineRule="auto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contextualSpacing/>
        <w:jc w:val="center"/>
        <w:spacing w:after="0" w:line="264" w:lineRule="auto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contextualSpacing/>
        <w:jc w:val="center"/>
        <w:spacing w:after="0" w:line="264" w:lineRule="auto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contextualSpacing/>
        <w:ind w:firstLine="0"/>
        <w:jc w:val="left"/>
        <w:spacing w:after="0" w:line="264" w:lineRule="auto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Заместитель руководителя </w:t>
        <w:tab/>
        <w:tab/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Н.С. Ивчатова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r>
    </w:p>
    <w:p>
      <w:pPr>
        <w:pStyle w:val="925"/>
        <w:ind w:firstLine="0"/>
        <w:spacing w:line="264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25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Подольская </w:t>
      </w:r>
      <w:r>
        <w:rPr>
          <w:color w:val="000000"/>
          <w:sz w:val="24"/>
          <w:szCs w:val="24"/>
        </w:rPr>
        <w:t xml:space="preserve">Дарина Сергеевна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25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 (383)227-10-76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F">
    <w:panose1 w:val="02000603000000000000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3.9.%1."/>
      <w:lvlJc w:val="left"/>
      <w:pPr>
        <w:ind w:left="30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0"/>
      <w:numFmt w:val="decimalZero"/>
      <w:isLgl w:val="false"/>
      <w:suff w:val="tab"/>
      <w:lvlText w:val="%1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4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571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7.2.%1."/>
      <w:lvlJc w:val="left"/>
      <w:pPr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7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21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5"/>
      <w:numFmt w:val="decimal"/>
      <w:isLgl w:val="false"/>
      <w:suff w:val="tab"/>
      <w:lvlText w:val="%1.%2."/>
      <w:lvlJc w:val="left"/>
      <w:pPr>
        <w:ind w:left="99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9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9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2160"/>
      </w:p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sz w:val="24"/>
      </w:rPr>
    </w:lvl>
    <w:lvl w:ilvl="1">
      <w:start w:val="4"/>
      <w:numFmt w:val="decimal"/>
      <w:isLgl w:val="false"/>
      <w:suff w:val="tab"/>
      <w:lvlText w:val="%1.%2."/>
      <w:lvlJc w:val="left"/>
      <w:pPr>
        <w:ind w:left="1074" w:hanging="720"/>
      </w:pPr>
      <w:rPr>
        <w:sz w:val="24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28" w:hanging="720"/>
      </w:pPr>
      <w:rPr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sz w:val="24"/>
      </w:rPr>
    </w:lvl>
  </w:abstractNum>
  <w:abstractNum w:abstractNumId="2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2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204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4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3.4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isLgl w:val="false"/>
        <w:suff w:val="tab"/>
        <w:lvlText w:val="1.%1.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  <w:num w:numId="48">
    <w:abstractNumId w:val="46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7">
    <w:name w:val="Heading 1"/>
    <w:basedOn w:val="925"/>
    <w:next w:val="92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8">
    <w:name w:val="Heading 1 Char"/>
    <w:link w:val="747"/>
    <w:uiPriority w:val="9"/>
    <w:rPr>
      <w:rFonts w:ascii="Arial" w:hAnsi="Arial" w:eastAsia="Arial" w:cs="Arial"/>
      <w:sz w:val="40"/>
      <w:szCs w:val="40"/>
    </w:rPr>
  </w:style>
  <w:style w:type="paragraph" w:styleId="749">
    <w:name w:val="Heading 2"/>
    <w:basedOn w:val="925"/>
    <w:next w:val="925"/>
    <w:link w:val="75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0">
    <w:name w:val="Heading 2 Char"/>
    <w:link w:val="749"/>
    <w:uiPriority w:val="9"/>
    <w:rPr>
      <w:rFonts w:ascii="Arial" w:hAnsi="Arial" w:eastAsia="Arial" w:cs="Arial"/>
      <w:sz w:val="34"/>
    </w:rPr>
  </w:style>
  <w:style w:type="paragraph" w:styleId="751">
    <w:name w:val="Heading 3"/>
    <w:basedOn w:val="925"/>
    <w:next w:val="925"/>
    <w:link w:val="75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2">
    <w:name w:val="Heading 3 Char"/>
    <w:link w:val="751"/>
    <w:uiPriority w:val="9"/>
    <w:rPr>
      <w:rFonts w:ascii="Arial" w:hAnsi="Arial" w:eastAsia="Arial" w:cs="Arial"/>
      <w:sz w:val="30"/>
      <w:szCs w:val="30"/>
    </w:rPr>
  </w:style>
  <w:style w:type="paragraph" w:styleId="753">
    <w:name w:val="Heading 4"/>
    <w:basedOn w:val="925"/>
    <w:next w:val="925"/>
    <w:link w:val="75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4">
    <w:name w:val="Heading 4 Char"/>
    <w:link w:val="753"/>
    <w:uiPriority w:val="9"/>
    <w:rPr>
      <w:rFonts w:ascii="Arial" w:hAnsi="Arial" w:eastAsia="Arial" w:cs="Arial"/>
      <w:b/>
      <w:bCs/>
      <w:sz w:val="26"/>
      <w:szCs w:val="26"/>
    </w:rPr>
  </w:style>
  <w:style w:type="paragraph" w:styleId="755">
    <w:name w:val="Heading 5"/>
    <w:basedOn w:val="925"/>
    <w:next w:val="925"/>
    <w:link w:val="75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6">
    <w:name w:val="Heading 5 Char"/>
    <w:link w:val="755"/>
    <w:uiPriority w:val="9"/>
    <w:rPr>
      <w:rFonts w:ascii="Arial" w:hAnsi="Arial" w:eastAsia="Arial" w:cs="Arial"/>
      <w:b/>
      <w:bCs/>
      <w:sz w:val="24"/>
      <w:szCs w:val="24"/>
    </w:rPr>
  </w:style>
  <w:style w:type="paragraph" w:styleId="757">
    <w:name w:val="Heading 6"/>
    <w:basedOn w:val="925"/>
    <w:next w:val="925"/>
    <w:link w:val="75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8">
    <w:name w:val="Heading 6 Char"/>
    <w:link w:val="757"/>
    <w:uiPriority w:val="9"/>
    <w:rPr>
      <w:rFonts w:ascii="Arial" w:hAnsi="Arial" w:eastAsia="Arial" w:cs="Arial"/>
      <w:b/>
      <w:bCs/>
      <w:sz w:val="22"/>
      <w:szCs w:val="22"/>
    </w:rPr>
  </w:style>
  <w:style w:type="paragraph" w:styleId="759">
    <w:name w:val="Heading 7"/>
    <w:basedOn w:val="925"/>
    <w:next w:val="925"/>
    <w:link w:val="76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0">
    <w:name w:val="Heading 7 Char"/>
    <w:link w:val="75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1">
    <w:name w:val="Heading 8"/>
    <w:basedOn w:val="925"/>
    <w:next w:val="925"/>
    <w:link w:val="76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2">
    <w:name w:val="Heading 8 Char"/>
    <w:link w:val="761"/>
    <w:uiPriority w:val="9"/>
    <w:rPr>
      <w:rFonts w:ascii="Arial" w:hAnsi="Arial" w:eastAsia="Arial" w:cs="Arial"/>
      <w:i/>
      <w:iCs/>
      <w:sz w:val="22"/>
      <w:szCs w:val="22"/>
    </w:rPr>
  </w:style>
  <w:style w:type="paragraph" w:styleId="763">
    <w:name w:val="Heading 9"/>
    <w:basedOn w:val="925"/>
    <w:next w:val="925"/>
    <w:link w:val="76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4">
    <w:name w:val="Heading 9 Char"/>
    <w:link w:val="763"/>
    <w:uiPriority w:val="9"/>
    <w:rPr>
      <w:rFonts w:ascii="Arial" w:hAnsi="Arial" w:eastAsia="Arial" w:cs="Arial"/>
      <w:i/>
      <w:iCs/>
      <w:sz w:val="21"/>
      <w:szCs w:val="21"/>
    </w:rPr>
  </w:style>
  <w:style w:type="paragraph" w:styleId="765">
    <w:name w:val="List Paragraph"/>
    <w:basedOn w:val="925"/>
    <w:uiPriority w:val="34"/>
    <w:qFormat/>
    <w:pPr>
      <w:contextualSpacing/>
      <w:ind w:left="720"/>
    </w:pPr>
  </w:style>
  <w:style w:type="paragraph" w:styleId="766">
    <w:name w:val="No Spacing"/>
    <w:uiPriority w:val="1"/>
    <w:qFormat/>
    <w:pPr>
      <w:spacing w:before="0" w:after="0" w:line="240" w:lineRule="auto"/>
    </w:pPr>
  </w:style>
  <w:style w:type="paragraph" w:styleId="767">
    <w:name w:val="Title"/>
    <w:basedOn w:val="925"/>
    <w:next w:val="925"/>
    <w:link w:val="76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8">
    <w:name w:val="Title Char"/>
    <w:link w:val="767"/>
    <w:uiPriority w:val="10"/>
    <w:rPr>
      <w:sz w:val="48"/>
      <w:szCs w:val="48"/>
    </w:rPr>
  </w:style>
  <w:style w:type="paragraph" w:styleId="769">
    <w:name w:val="Subtitle"/>
    <w:basedOn w:val="925"/>
    <w:next w:val="925"/>
    <w:link w:val="770"/>
    <w:uiPriority w:val="11"/>
    <w:qFormat/>
    <w:pPr>
      <w:spacing w:before="200" w:after="200"/>
    </w:pPr>
    <w:rPr>
      <w:sz w:val="24"/>
      <w:szCs w:val="24"/>
    </w:rPr>
  </w:style>
  <w:style w:type="character" w:styleId="770">
    <w:name w:val="Subtitle Char"/>
    <w:link w:val="769"/>
    <w:uiPriority w:val="11"/>
    <w:rPr>
      <w:sz w:val="24"/>
      <w:szCs w:val="24"/>
    </w:rPr>
  </w:style>
  <w:style w:type="paragraph" w:styleId="771">
    <w:name w:val="Quote"/>
    <w:basedOn w:val="925"/>
    <w:next w:val="925"/>
    <w:link w:val="772"/>
    <w:uiPriority w:val="29"/>
    <w:qFormat/>
    <w:pPr>
      <w:ind w:left="720" w:right="720"/>
    </w:pPr>
    <w:rPr>
      <w:i/>
    </w:rPr>
  </w:style>
  <w:style w:type="character" w:styleId="772">
    <w:name w:val="Quote Char"/>
    <w:link w:val="771"/>
    <w:uiPriority w:val="29"/>
    <w:rPr>
      <w:i/>
    </w:rPr>
  </w:style>
  <w:style w:type="paragraph" w:styleId="773">
    <w:name w:val="Intense Quote"/>
    <w:basedOn w:val="925"/>
    <w:next w:val="925"/>
    <w:link w:val="77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4">
    <w:name w:val="Intense Quote Char"/>
    <w:link w:val="773"/>
    <w:uiPriority w:val="30"/>
    <w:rPr>
      <w:i/>
    </w:rPr>
  </w:style>
  <w:style w:type="paragraph" w:styleId="775">
    <w:name w:val="Header"/>
    <w:basedOn w:val="925"/>
    <w:link w:val="77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6">
    <w:name w:val="Header Char"/>
    <w:link w:val="775"/>
    <w:uiPriority w:val="99"/>
  </w:style>
  <w:style w:type="paragraph" w:styleId="777">
    <w:name w:val="Footer"/>
    <w:basedOn w:val="925"/>
    <w:link w:val="7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8">
    <w:name w:val="Footer Char"/>
    <w:link w:val="777"/>
    <w:uiPriority w:val="99"/>
  </w:style>
  <w:style w:type="paragraph" w:styleId="779">
    <w:name w:val="Caption"/>
    <w:basedOn w:val="925"/>
    <w:next w:val="9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0">
    <w:name w:val="Caption Char"/>
    <w:basedOn w:val="779"/>
    <w:link w:val="777"/>
    <w:uiPriority w:val="99"/>
  </w:style>
  <w:style w:type="table" w:styleId="78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7">
    <w:name w:val="Hyperlink"/>
    <w:uiPriority w:val="99"/>
    <w:unhideWhenUsed/>
    <w:rPr>
      <w:color w:val="0000ff" w:themeColor="hyperlink"/>
      <w:u w:val="single"/>
    </w:rPr>
  </w:style>
  <w:style w:type="paragraph" w:styleId="908">
    <w:name w:val="footnote text"/>
    <w:basedOn w:val="925"/>
    <w:link w:val="909"/>
    <w:uiPriority w:val="99"/>
    <w:semiHidden/>
    <w:unhideWhenUsed/>
    <w:pPr>
      <w:spacing w:after="40" w:line="240" w:lineRule="auto"/>
    </w:pPr>
    <w:rPr>
      <w:sz w:val="18"/>
    </w:rPr>
  </w:style>
  <w:style w:type="character" w:styleId="909">
    <w:name w:val="Footnote Text Char"/>
    <w:link w:val="908"/>
    <w:uiPriority w:val="99"/>
    <w:rPr>
      <w:sz w:val="18"/>
    </w:rPr>
  </w:style>
  <w:style w:type="character" w:styleId="910">
    <w:name w:val="footnote reference"/>
    <w:uiPriority w:val="99"/>
    <w:unhideWhenUsed/>
    <w:rPr>
      <w:vertAlign w:val="superscript"/>
    </w:rPr>
  </w:style>
  <w:style w:type="paragraph" w:styleId="911">
    <w:name w:val="endnote text"/>
    <w:basedOn w:val="925"/>
    <w:link w:val="912"/>
    <w:uiPriority w:val="99"/>
    <w:semiHidden/>
    <w:unhideWhenUsed/>
    <w:pPr>
      <w:spacing w:after="0" w:line="240" w:lineRule="auto"/>
    </w:pPr>
    <w:rPr>
      <w:sz w:val="20"/>
    </w:rPr>
  </w:style>
  <w:style w:type="character" w:styleId="912">
    <w:name w:val="Endnote Text Char"/>
    <w:link w:val="911"/>
    <w:uiPriority w:val="99"/>
    <w:rPr>
      <w:sz w:val="20"/>
    </w:rPr>
  </w:style>
  <w:style w:type="character" w:styleId="913">
    <w:name w:val="endnote reference"/>
    <w:uiPriority w:val="99"/>
    <w:semiHidden/>
    <w:unhideWhenUsed/>
    <w:rPr>
      <w:vertAlign w:val="superscript"/>
    </w:rPr>
  </w:style>
  <w:style w:type="paragraph" w:styleId="914">
    <w:name w:val="toc 1"/>
    <w:basedOn w:val="925"/>
    <w:next w:val="925"/>
    <w:uiPriority w:val="39"/>
    <w:unhideWhenUsed/>
    <w:pPr>
      <w:ind w:left="0" w:right="0" w:firstLine="0"/>
      <w:spacing w:after="57"/>
    </w:pPr>
  </w:style>
  <w:style w:type="paragraph" w:styleId="915">
    <w:name w:val="toc 2"/>
    <w:basedOn w:val="925"/>
    <w:next w:val="925"/>
    <w:uiPriority w:val="39"/>
    <w:unhideWhenUsed/>
    <w:pPr>
      <w:ind w:left="283" w:right="0" w:firstLine="0"/>
      <w:spacing w:after="57"/>
    </w:pPr>
  </w:style>
  <w:style w:type="paragraph" w:styleId="916">
    <w:name w:val="toc 3"/>
    <w:basedOn w:val="925"/>
    <w:next w:val="925"/>
    <w:uiPriority w:val="39"/>
    <w:unhideWhenUsed/>
    <w:pPr>
      <w:ind w:left="567" w:right="0" w:firstLine="0"/>
      <w:spacing w:after="57"/>
    </w:pPr>
  </w:style>
  <w:style w:type="paragraph" w:styleId="917">
    <w:name w:val="toc 4"/>
    <w:basedOn w:val="925"/>
    <w:next w:val="925"/>
    <w:uiPriority w:val="39"/>
    <w:unhideWhenUsed/>
    <w:pPr>
      <w:ind w:left="850" w:right="0" w:firstLine="0"/>
      <w:spacing w:after="57"/>
    </w:pPr>
  </w:style>
  <w:style w:type="paragraph" w:styleId="918">
    <w:name w:val="toc 5"/>
    <w:basedOn w:val="925"/>
    <w:next w:val="925"/>
    <w:uiPriority w:val="39"/>
    <w:unhideWhenUsed/>
    <w:pPr>
      <w:ind w:left="1134" w:right="0" w:firstLine="0"/>
      <w:spacing w:after="57"/>
    </w:pPr>
  </w:style>
  <w:style w:type="paragraph" w:styleId="919">
    <w:name w:val="toc 6"/>
    <w:basedOn w:val="925"/>
    <w:next w:val="925"/>
    <w:uiPriority w:val="39"/>
    <w:unhideWhenUsed/>
    <w:pPr>
      <w:ind w:left="1417" w:right="0" w:firstLine="0"/>
      <w:spacing w:after="57"/>
    </w:pPr>
  </w:style>
  <w:style w:type="paragraph" w:styleId="920">
    <w:name w:val="toc 7"/>
    <w:basedOn w:val="925"/>
    <w:next w:val="925"/>
    <w:uiPriority w:val="39"/>
    <w:unhideWhenUsed/>
    <w:pPr>
      <w:ind w:left="1701" w:right="0" w:firstLine="0"/>
      <w:spacing w:after="57"/>
    </w:pPr>
  </w:style>
  <w:style w:type="paragraph" w:styleId="921">
    <w:name w:val="toc 8"/>
    <w:basedOn w:val="925"/>
    <w:next w:val="925"/>
    <w:uiPriority w:val="39"/>
    <w:unhideWhenUsed/>
    <w:pPr>
      <w:ind w:left="1984" w:right="0" w:firstLine="0"/>
      <w:spacing w:after="57"/>
    </w:pPr>
  </w:style>
  <w:style w:type="paragraph" w:styleId="922">
    <w:name w:val="toc 9"/>
    <w:basedOn w:val="925"/>
    <w:next w:val="925"/>
    <w:uiPriority w:val="39"/>
    <w:unhideWhenUsed/>
    <w:pPr>
      <w:ind w:left="2268" w:right="0" w:firstLine="0"/>
      <w:spacing w:after="57"/>
    </w:pPr>
  </w:style>
  <w:style w:type="paragraph" w:styleId="923">
    <w:name w:val="TOC Heading"/>
    <w:uiPriority w:val="39"/>
    <w:unhideWhenUsed/>
  </w:style>
  <w:style w:type="paragraph" w:styleId="924">
    <w:name w:val="table of figures"/>
    <w:basedOn w:val="925"/>
    <w:next w:val="925"/>
    <w:uiPriority w:val="99"/>
    <w:unhideWhenUsed/>
    <w:pPr>
      <w:spacing w:after="0" w:afterAutospacing="0"/>
    </w:pPr>
  </w:style>
  <w:style w:type="paragraph" w:styleId="925" w:default="1">
    <w:name w:val="Normal"/>
    <w:next w:val="925"/>
    <w:link w:val="925"/>
    <w:qFormat/>
    <w:pPr>
      <w:ind w:firstLine="709"/>
      <w:jc w:val="both"/>
    </w:pPr>
    <w:rPr>
      <w:sz w:val="28"/>
      <w:szCs w:val="28"/>
      <w:lang w:val="ru-RU" w:eastAsia="en-US" w:bidi="ar-SA"/>
    </w:rPr>
  </w:style>
  <w:style w:type="paragraph" w:styleId="926">
    <w:name w:val="Заголовок 1"/>
    <w:basedOn w:val="925"/>
    <w:next w:val="925"/>
    <w:link w:val="952"/>
    <w:uiPriority w:val="9"/>
    <w:qFormat/>
    <w:pPr>
      <w:ind w:firstLine="0"/>
      <w:jc w:val="left"/>
      <w:keepLines/>
      <w:keepNext/>
      <w:spacing w:before="480" w:line="276" w:lineRule="auto"/>
      <w:outlineLvl w:val="0"/>
    </w:pPr>
    <w:rPr>
      <w:rFonts w:ascii="Calibri" w:hAnsi="Calibri" w:eastAsia="Times New Roman" w:cs="Times New Roman"/>
      <w:b/>
      <w:bCs/>
    </w:rPr>
  </w:style>
  <w:style w:type="character" w:styleId="927">
    <w:name w:val="Основной шрифт абзаца"/>
    <w:next w:val="927"/>
    <w:link w:val="925"/>
    <w:uiPriority w:val="1"/>
    <w:semiHidden/>
    <w:unhideWhenUsed/>
  </w:style>
  <w:style w:type="table" w:styleId="928">
    <w:name w:val="Обычная таблица"/>
    <w:next w:val="928"/>
    <w:link w:val="925"/>
    <w:uiPriority w:val="99"/>
    <w:semiHidden/>
    <w:unhideWhenUsed/>
    <w:qFormat/>
    <w:tblPr/>
  </w:style>
  <w:style w:type="numbering" w:styleId="929">
    <w:name w:val="Нет списка"/>
    <w:next w:val="929"/>
    <w:link w:val="925"/>
    <w:uiPriority w:val="99"/>
    <w:semiHidden/>
    <w:unhideWhenUsed/>
  </w:style>
  <w:style w:type="paragraph" w:styleId="930">
    <w:name w:val="ConsPlusNormal"/>
    <w:next w:val="930"/>
    <w:link w:val="995"/>
    <w:rPr>
      <w:sz w:val="28"/>
      <w:szCs w:val="28"/>
      <w:lang w:val="ru-RU" w:eastAsia="ru-RU" w:bidi="ar-SA"/>
    </w:rPr>
  </w:style>
  <w:style w:type="table" w:styleId="931">
    <w:name w:val="Сетка таблицы"/>
    <w:basedOn w:val="928"/>
    <w:next w:val="931"/>
    <w:link w:val="925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32">
    <w:name w:val="Абзац списка"/>
    <w:basedOn w:val="925"/>
    <w:next w:val="932"/>
    <w:link w:val="925"/>
    <w:uiPriority w:val="34"/>
    <w:qFormat/>
    <w:pPr>
      <w:contextualSpacing/>
      <w:ind w:left="720"/>
    </w:pPr>
  </w:style>
  <w:style w:type="table" w:styleId="933">
    <w:name w:val="Сетка таблицы1"/>
    <w:basedOn w:val="928"/>
    <w:next w:val="931"/>
    <w:link w:val="925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34">
    <w:name w:val="Текст выноски"/>
    <w:basedOn w:val="925"/>
    <w:next w:val="934"/>
    <w:link w:val="935"/>
    <w:uiPriority w:val="99"/>
    <w:semiHidden/>
    <w:unhideWhenUsed/>
    <w:rPr>
      <w:rFonts w:ascii="Tahoma" w:hAnsi="Tahoma"/>
      <w:sz w:val="16"/>
      <w:szCs w:val="16"/>
    </w:rPr>
  </w:style>
  <w:style w:type="character" w:styleId="935">
    <w:name w:val="Текст выноски Знак"/>
    <w:next w:val="935"/>
    <w:link w:val="934"/>
    <w:uiPriority w:val="99"/>
    <w:semiHidden/>
    <w:rPr>
      <w:rFonts w:ascii="Tahoma" w:hAnsi="Tahoma" w:eastAsia="Calibri" w:cs="Times New Roman"/>
      <w:sz w:val="16"/>
      <w:szCs w:val="16"/>
    </w:rPr>
  </w:style>
  <w:style w:type="paragraph" w:styleId="936">
    <w:name w:val="Верхний колонтитул"/>
    <w:basedOn w:val="925"/>
    <w:next w:val="936"/>
    <w:link w:val="93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7">
    <w:name w:val="Верхний колонтитул Знак"/>
    <w:next w:val="937"/>
    <w:link w:val="936"/>
    <w:uiPriority w:val="99"/>
    <w:rPr>
      <w:rFonts w:eastAsia="Calibri" w:cs="Times New Roman"/>
      <w:sz w:val="28"/>
      <w:szCs w:val="28"/>
    </w:rPr>
  </w:style>
  <w:style w:type="paragraph" w:styleId="938">
    <w:name w:val="Нижний колонтитул"/>
    <w:basedOn w:val="925"/>
    <w:next w:val="938"/>
    <w:link w:val="93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9">
    <w:name w:val="Нижний колонтитул Знак"/>
    <w:next w:val="939"/>
    <w:link w:val="938"/>
    <w:uiPriority w:val="99"/>
    <w:rPr>
      <w:rFonts w:eastAsia="Calibri" w:cs="Times New Roman"/>
      <w:sz w:val="28"/>
      <w:szCs w:val="28"/>
    </w:rPr>
  </w:style>
  <w:style w:type="table" w:styleId="940">
    <w:name w:val="Сетка таблицы2"/>
    <w:basedOn w:val="928"/>
    <w:next w:val="931"/>
    <w:link w:val="925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41">
    <w:name w:val="ConsPlusTitlePage"/>
    <w:next w:val="941"/>
    <w:link w:val="925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paragraph" w:styleId="942">
    <w:name w:val="ConsPlusTitle"/>
    <w:next w:val="942"/>
    <w:link w:val="925"/>
    <w:pPr>
      <w:widowControl w:val="off"/>
    </w:pPr>
    <w:rPr>
      <w:rFonts w:eastAsia="Times New Roman"/>
      <w:b/>
      <w:sz w:val="28"/>
      <w:lang w:val="ru-RU" w:eastAsia="ru-RU" w:bidi="ar-SA"/>
    </w:rPr>
  </w:style>
  <w:style w:type="paragraph" w:styleId="943">
    <w:name w:val="ConsPlusNonformat"/>
    <w:next w:val="943"/>
    <w:link w:val="925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44">
    <w:name w:val="Основной текст с отступом"/>
    <w:basedOn w:val="925"/>
    <w:next w:val="944"/>
    <w:link w:val="945"/>
    <w:pPr>
      <w:ind w:firstLine="696"/>
    </w:pPr>
    <w:rPr>
      <w:rFonts w:eastAsia="Times New Roman"/>
      <w:szCs w:val="20"/>
      <w:lang w:eastAsia="ru-RU"/>
    </w:rPr>
  </w:style>
  <w:style w:type="character" w:styleId="945">
    <w:name w:val="Основной текст с отступом Знак"/>
    <w:next w:val="945"/>
    <w:link w:val="944"/>
    <w:rPr>
      <w:rFonts w:eastAsia="Times New Roman" w:cs="Times New Roman"/>
      <w:sz w:val="28"/>
      <w:szCs w:val="20"/>
      <w:lang w:eastAsia="ru-RU"/>
    </w:rPr>
  </w:style>
  <w:style w:type="character" w:styleId="946">
    <w:name w:val="apple-converted-space"/>
    <w:basedOn w:val="927"/>
    <w:next w:val="946"/>
    <w:link w:val="925"/>
  </w:style>
  <w:style w:type="paragraph" w:styleId="947">
    <w:name w:val="Основной текст с отступом 2"/>
    <w:basedOn w:val="925"/>
    <w:next w:val="947"/>
    <w:link w:val="948"/>
    <w:uiPriority w:val="99"/>
    <w:semiHidden/>
    <w:unhideWhenUsed/>
    <w:pPr>
      <w:ind w:left="283"/>
      <w:spacing w:after="120" w:line="480" w:lineRule="auto"/>
    </w:pPr>
  </w:style>
  <w:style w:type="character" w:styleId="948">
    <w:name w:val="Основной текст с отступом 2 Знак"/>
    <w:next w:val="948"/>
    <w:link w:val="947"/>
    <w:uiPriority w:val="99"/>
    <w:semiHidden/>
    <w:rPr>
      <w:rFonts w:eastAsia="Calibri" w:cs="Times New Roman"/>
      <w:sz w:val="28"/>
      <w:szCs w:val="28"/>
    </w:rPr>
  </w:style>
  <w:style w:type="paragraph" w:styleId="949">
    <w:name w:val="Стандартный HTML"/>
    <w:basedOn w:val="925"/>
    <w:next w:val="949"/>
    <w:link w:val="950"/>
    <w:pPr>
      <w:ind w:firstLine="0"/>
      <w:jc w:val="left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950">
    <w:name w:val="Стандартный HTML Знак"/>
    <w:next w:val="950"/>
    <w:link w:val="949"/>
    <w:rPr>
      <w:rFonts w:ascii="Courier New" w:hAnsi="Courier New" w:eastAsia="Times New Roman" w:cs="Courier New"/>
      <w:szCs w:val="20"/>
      <w:lang w:eastAsia="ru-RU"/>
    </w:rPr>
  </w:style>
  <w:style w:type="character" w:styleId="951">
    <w:name w:val="Гиперссылка"/>
    <w:next w:val="951"/>
    <w:link w:val="925"/>
    <w:rPr>
      <w:color w:val="0000ff"/>
      <w:u w:val="single"/>
    </w:rPr>
  </w:style>
  <w:style w:type="character" w:styleId="952">
    <w:name w:val="Заголовок 1 Знак"/>
    <w:next w:val="952"/>
    <w:link w:val="926"/>
    <w:uiPriority w:val="9"/>
    <w:rPr>
      <w:rFonts w:ascii="Calibri" w:hAnsi="Calibri" w:eastAsia="Times New Roman" w:cs="Times New Roman"/>
      <w:b/>
      <w:bCs/>
      <w:sz w:val="28"/>
      <w:szCs w:val="28"/>
    </w:rPr>
  </w:style>
  <w:style w:type="table" w:styleId="953">
    <w:name w:val="Сетка таблицы3"/>
    <w:basedOn w:val="928"/>
    <w:next w:val="953"/>
    <w:link w:val="925"/>
    <w:uiPriority w:val="59"/>
    <w:pPr>
      <w:jc w:val="left"/>
    </w:pPr>
    <w:rPr>
      <w:rFonts w:ascii="Calibri" w:hAnsi="Calibri"/>
      <w:sz w:val="22"/>
    </w:rPr>
    <w:tblPr/>
  </w:style>
  <w:style w:type="paragraph" w:styleId="954">
    <w:name w:val="Heading"/>
    <w:next w:val="954"/>
    <w:link w:val="925"/>
    <w:rPr>
      <w:rFonts w:ascii="Arial" w:hAnsi="Arial" w:eastAsia="Times New Roman"/>
      <w:b/>
      <w:sz w:val="22"/>
      <w:lang w:val="ru-RU" w:eastAsia="ru-RU" w:bidi="ar-SA"/>
    </w:rPr>
  </w:style>
  <w:style w:type="table" w:styleId="955">
    <w:name w:val="Сетка таблицы7"/>
    <w:basedOn w:val="928"/>
    <w:next w:val="931"/>
    <w:link w:val="925"/>
    <w:uiPriority w:val="59"/>
    <w:pPr>
      <w:jc w:val="left"/>
    </w:pPr>
    <w:rPr>
      <w:rFonts w:ascii="Calibri" w:hAnsi="Calibri"/>
      <w:sz w:val="22"/>
    </w:rPr>
    <w:tblPr/>
  </w:style>
  <w:style w:type="character" w:styleId="956">
    <w:name w:val="Знак сноски"/>
    <w:next w:val="956"/>
    <w:link w:val="925"/>
    <w:semiHidden/>
    <w:rPr>
      <w:vertAlign w:val="superscript"/>
    </w:rPr>
  </w:style>
  <w:style w:type="paragraph" w:styleId="957">
    <w:name w:val="Текст сноски"/>
    <w:basedOn w:val="925"/>
    <w:next w:val="957"/>
    <w:link w:val="958"/>
    <w:semiHidden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styleId="958">
    <w:name w:val="Текст сноски Знак"/>
    <w:next w:val="958"/>
    <w:link w:val="957"/>
    <w:semiHidden/>
    <w:rPr>
      <w:rFonts w:eastAsia="Times New Roman" w:cs="Times New Roman"/>
      <w:szCs w:val="20"/>
      <w:lang w:eastAsia="ru-RU"/>
    </w:rPr>
  </w:style>
  <w:style w:type="paragraph" w:styleId="959">
    <w:name w:val="Preformat"/>
    <w:next w:val="959"/>
    <w:link w:val="925"/>
    <w:rPr>
      <w:rFonts w:ascii="Courier New" w:hAnsi="Courier New" w:eastAsia="Times New Roman" w:cs="Courier New"/>
      <w:lang w:val="ru-RU" w:eastAsia="ru-RU" w:bidi="ar-SA"/>
    </w:rPr>
  </w:style>
  <w:style w:type="table" w:styleId="960">
    <w:name w:val="Сетка таблицы20"/>
    <w:basedOn w:val="928"/>
    <w:next w:val="931"/>
    <w:link w:val="925"/>
    <w:pPr>
      <w:jc w:val="left"/>
    </w:pPr>
    <w:rPr>
      <w:rFonts w:eastAsia="Times New Roman" w:cs="Times New Roman"/>
      <w:szCs w:val="20"/>
      <w:lang w:eastAsia="ru-RU"/>
    </w:rPr>
    <w:tblPr/>
  </w:style>
  <w:style w:type="table" w:styleId="961">
    <w:name w:val="Сетка таблицы19"/>
    <w:basedOn w:val="928"/>
    <w:next w:val="931"/>
    <w:link w:val="925"/>
    <w:pPr>
      <w:jc w:val="left"/>
    </w:pPr>
    <w:rPr>
      <w:rFonts w:eastAsia="Times New Roman" w:cs="Times New Roman"/>
      <w:szCs w:val="20"/>
      <w:lang w:eastAsia="ru-RU"/>
    </w:rPr>
    <w:tblPr/>
  </w:style>
  <w:style w:type="table" w:styleId="962">
    <w:name w:val="Сетка таблицы18"/>
    <w:basedOn w:val="928"/>
    <w:next w:val="931"/>
    <w:link w:val="925"/>
    <w:pPr>
      <w:jc w:val="left"/>
    </w:pPr>
    <w:rPr>
      <w:rFonts w:eastAsia="Times New Roman" w:cs="Times New Roman"/>
      <w:szCs w:val="20"/>
      <w:lang w:eastAsia="ru-RU"/>
    </w:rPr>
    <w:tblPr/>
  </w:style>
  <w:style w:type="table" w:styleId="963">
    <w:name w:val="Сетка таблицы17"/>
    <w:basedOn w:val="928"/>
    <w:next w:val="931"/>
    <w:link w:val="925"/>
    <w:pPr>
      <w:jc w:val="left"/>
    </w:pPr>
    <w:rPr>
      <w:rFonts w:eastAsia="Times New Roman" w:cs="Times New Roman"/>
      <w:szCs w:val="20"/>
      <w:lang w:eastAsia="ru-RU"/>
    </w:rPr>
    <w:tblPr/>
  </w:style>
  <w:style w:type="character" w:styleId="964">
    <w:name w:val="Font Style22"/>
    <w:next w:val="964"/>
    <w:link w:val="925"/>
    <w:uiPriority w:val="99"/>
    <w:rPr>
      <w:rFonts w:ascii="Times New Roman" w:hAnsi="Times New Roman" w:cs="Times New Roman"/>
      <w:sz w:val="26"/>
      <w:szCs w:val="26"/>
    </w:rPr>
  </w:style>
  <w:style w:type="paragraph" w:styleId="965">
    <w:name w:val="Style16"/>
    <w:basedOn w:val="925"/>
    <w:next w:val="965"/>
    <w:link w:val="925"/>
    <w:uiPriority w:val="99"/>
    <w:pPr>
      <w:ind w:firstLine="720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6">
    <w:name w:val="Style10"/>
    <w:basedOn w:val="925"/>
    <w:next w:val="966"/>
    <w:link w:val="925"/>
    <w:uiPriority w:val="99"/>
    <w:pPr>
      <w:ind w:firstLine="713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7">
    <w:name w:val="Style17"/>
    <w:basedOn w:val="925"/>
    <w:next w:val="967"/>
    <w:link w:val="925"/>
    <w:uiPriority w:val="99"/>
    <w:pPr>
      <w:ind w:firstLine="706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68">
    <w:name w:val="Font Style180"/>
    <w:next w:val="968"/>
    <w:link w:val="925"/>
    <w:uiPriority w:val="99"/>
    <w:rPr>
      <w:rFonts w:ascii="Times New Roman" w:hAnsi="Times New Roman" w:cs="Times New Roman"/>
      <w:sz w:val="26"/>
      <w:szCs w:val="26"/>
    </w:rPr>
  </w:style>
  <w:style w:type="character" w:styleId="969">
    <w:name w:val="Font Style178"/>
    <w:next w:val="969"/>
    <w:link w:val="925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970">
    <w:name w:val="Style18"/>
    <w:basedOn w:val="925"/>
    <w:next w:val="970"/>
    <w:link w:val="925"/>
    <w:uiPriority w:val="99"/>
    <w:pPr>
      <w:ind w:firstLine="0"/>
      <w:jc w:val="center"/>
      <w:spacing w:line="38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1">
    <w:name w:val="Style6"/>
    <w:basedOn w:val="925"/>
    <w:next w:val="971"/>
    <w:link w:val="925"/>
    <w:uiPriority w:val="99"/>
    <w:pPr>
      <w:ind w:firstLine="0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2">
    <w:name w:val="Style15"/>
    <w:basedOn w:val="925"/>
    <w:next w:val="972"/>
    <w:link w:val="925"/>
    <w:uiPriority w:val="99"/>
    <w:pPr>
      <w:ind w:firstLine="0"/>
      <w:jc w:val="center"/>
      <w:widowControl w:val="off"/>
    </w:pPr>
    <w:rPr>
      <w:rFonts w:eastAsia="Times New Roman"/>
      <w:sz w:val="24"/>
      <w:szCs w:val="24"/>
      <w:lang w:eastAsia="ru-RU"/>
    </w:rPr>
  </w:style>
  <w:style w:type="paragraph" w:styleId="973">
    <w:name w:val="Style7"/>
    <w:basedOn w:val="925"/>
    <w:next w:val="973"/>
    <w:link w:val="925"/>
    <w:uiPriority w:val="99"/>
    <w:pPr>
      <w:ind w:firstLine="0"/>
      <w:jc w:val="left"/>
      <w:spacing w:line="37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4">
    <w:name w:val="Style11"/>
    <w:basedOn w:val="925"/>
    <w:next w:val="974"/>
    <w:link w:val="925"/>
    <w:uiPriority w:val="99"/>
    <w:pPr>
      <w:ind w:firstLine="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75">
    <w:name w:val="Font Style183"/>
    <w:next w:val="975"/>
    <w:link w:val="925"/>
    <w:uiPriority w:val="99"/>
    <w:rPr>
      <w:rFonts w:ascii="Times New Roman" w:hAnsi="Times New Roman" w:cs="Times New Roman"/>
      <w:sz w:val="20"/>
      <w:szCs w:val="20"/>
    </w:rPr>
  </w:style>
  <w:style w:type="paragraph" w:styleId="976">
    <w:name w:val="Style20"/>
    <w:basedOn w:val="925"/>
    <w:next w:val="976"/>
    <w:link w:val="925"/>
    <w:uiPriority w:val="99"/>
    <w:pPr>
      <w:ind w:firstLine="71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7">
    <w:name w:val="Style3"/>
    <w:basedOn w:val="925"/>
    <w:next w:val="977"/>
    <w:link w:val="925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78">
    <w:name w:val="Style38"/>
    <w:basedOn w:val="925"/>
    <w:next w:val="978"/>
    <w:link w:val="925"/>
    <w:uiPriority w:val="99"/>
    <w:pPr>
      <w:ind w:firstLine="0"/>
      <w:jc w:val="right"/>
      <w:widowControl w:val="off"/>
    </w:pPr>
    <w:rPr>
      <w:rFonts w:eastAsia="Times New Roman"/>
      <w:sz w:val="24"/>
      <w:szCs w:val="24"/>
      <w:lang w:eastAsia="ru-RU"/>
    </w:rPr>
  </w:style>
  <w:style w:type="character" w:styleId="979">
    <w:name w:val="Font Style179"/>
    <w:next w:val="979"/>
    <w:link w:val="925"/>
    <w:uiPriority w:val="99"/>
    <w:rPr>
      <w:rFonts w:ascii="Times New Roman" w:hAnsi="Times New Roman" w:cs="Times New Roman"/>
      <w:sz w:val="22"/>
      <w:szCs w:val="22"/>
    </w:rPr>
  </w:style>
  <w:style w:type="paragraph" w:styleId="980">
    <w:name w:val="Style5"/>
    <w:basedOn w:val="925"/>
    <w:next w:val="980"/>
    <w:link w:val="925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81">
    <w:name w:val="Style13"/>
    <w:basedOn w:val="925"/>
    <w:next w:val="981"/>
    <w:link w:val="925"/>
    <w:uiPriority w:val="99"/>
    <w:pPr>
      <w:ind w:firstLine="0"/>
      <w:jc w:val="center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2">
    <w:name w:val="Style22"/>
    <w:basedOn w:val="925"/>
    <w:next w:val="982"/>
    <w:link w:val="925"/>
    <w:uiPriority w:val="99"/>
    <w:pPr>
      <w:ind w:hanging="1661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3">
    <w:name w:val="Style32"/>
    <w:basedOn w:val="925"/>
    <w:next w:val="983"/>
    <w:link w:val="925"/>
    <w:uiPriority w:val="99"/>
    <w:pPr>
      <w:ind w:hanging="734"/>
      <w:jc w:val="left"/>
      <w:spacing w:line="326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4">
    <w:name w:val="Style36"/>
    <w:basedOn w:val="925"/>
    <w:next w:val="984"/>
    <w:link w:val="925"/>
    <w:uiPriority w:val="99"/>
    <w:pPr>
      <w:ind w:hanging="130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5">
    <w:name w:val="Style37"/>
    <w:basedOn w:val="925"/>
    <w:next w:val="985"/>
    <w:link w:val="925"/>
    <w:uiPriority w:val="99"/>
    <w:pPr>
      <w:ind w:hanging="1752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6">
    <w:name w:val="Style44"/>
    <w:basedOn w:val="925"/>
    <w:next w:val="986"/>
    <w:link w:val="925"/>
    <w:uiPriority w:val="99"/>
    <w:pPr>
      <w:ind w:firstLine="57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7">
    <w:name w:val="Style34"/>
    <w:basedOn w:val="925"/>
    <w:next w:val="987"/>
    <w:link w:val="925"/>
    <w:uiPriority w:val="99"/>
    <w:pPr>
      <w:ind w:firstLine="125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8">
    <w:name w:val="Style41"/>
    <w:basedOn w:val="925"/>
    <w:next w:val="988"/>
    <w:link w:val="925"/>
    <w:uiPriority w:val="99"/>
    <w:pPr>
      <w:ind w:hanging="1243"/>
      <w:jc w:val="left"/>
      <w:spacing w:line="37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9">
    <w:name w:val="Style50"/>
    <w:basedOn w:val="925"/>
    <w:next w:val="989"/>
    <w:link w:val="925"/>
    <w:uiPriority w:val="99"/>
    <w:pPr>
      <w:ind w:firstLine="0"/>
      <w:widowControl w:val="off"/>
    </w:pPr>
    <w:rPr>
      <w:rFonts w:eastAsia="Times New Roman"/>
      <w:sz w:val="24"/>
      <w:szCs w:val="24"/>
      <w:lang w:eastAsia="ru-RU"/>
    </w:rPr>
  </w:style>
  <w:style w:type="paragraph" w:styleId="990">
    <w:name w:val="Style66"/>
    <w:basedOn w:val="925"/>
    <w:next w:val="990"/>
    <w:link w:val="925"/>
    <w:uiPriority w:val="99"/>
    <w:pPr>
      <w:ind w:firstLine="710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1">
    <w:name w:val="Style39"/>
    <w:basedOn w:val="925"/>
    <w:next w:val="991"/>
    <w:link w:val="925"/>
    <w:uiPriority w:val="99"/>
    <w:pPr>
      <w:ind w:firstLine="0"/>
      <w:jc w:val="left"/>
      <w:spacing w:line="275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2">
    <w:name w:val="Style43"/>
    <w:basedOn w:val="925"/>
    <w:next w:val="992"/>
    <w:link w:val="925"/>
    <w:uiPriority w:val="99"/>
    <w:pPr>
      <w:ind w:firstLine="58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93">
    <w:name w:val="Font Style218"/>
    <w:next w:val="993"/>
    <w:link w:val="925"/>
    <w:uiPriority w:val="99"/>
    <w:rPr>
      <w:rFonts w:ascii="Times New Roman" w:hAnsi="Times New Roman" w:cs="Times New Roman"/>
      <w:sz w:val="18"/>
      <w:szCs w:val="18"/>
    </w:rPr>
  </w:style>
  <w:style w:type="character" w:styleId="994">
    <w:name w:val="Font Style181"/>
    <w:next w:val="994"/>
    <w:link w:val="925"/>
    <w:uiPriority w:val="99"/>
    <w:rPr>
      <w:rFonts w:ascii="Times New Roman" w:hAnsi="Times New Roman" w:cs="Times New Roman"/>
      <w:sz w:val="16"/>
      <w:szCs w:val="16"/>
    </w:rPr>
  </w:style>
  <w:style w:type="character" w:styleId="995">
    <w:name w:val="ConsPlusNormal Знак"/>
    <w:next w:val="995"/>
    <w:link w:val="930"/>
    <w:rPr>
      <w:sz w:val="28"/>
      <w:szCs w:val="28"/>
      <w:lang w:val="ru-RU" w:eastAsia="ru-RU" w:bidi="ar-SA"/>
    </w:rPr>
  </w:style>
  <w:style w:type="paragraph" w:styleId="996">
    <w:name w:val="Style8"/>
    <w:basedOn w:val="925"/>
    <w:next w:val="996"/>
    <w:link w:val="925"/>
    <w:uiPriority w:val="99"/>
    <w:pPr>
      <w:ind w:firstLine="698"/>
      <w:spacing w:line="353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7">
    <w:name w:val="Standard"/>
    <w:next w:val="997"/>
    <w:link w:val="925"/>
    <w:pPr>
      <w:spacing w:after="200" w:line="276" w:lineRule="auto"/>
    </w:pPr>
    <w:rPr>
      <w:rFonts w:ascii="Calibri" w:hAnsi="Calibri" w:cs="F"/>
      <w:sz w:val="22"/>
      <w:szCs w:val="22"/>
      <w:lang w:val="ru-RU" w:eastAsia="en-US" w:bidi="ar-SA"/>
    </w:rPr>
  </w:style>
  <w:style w:type="character" w:styleId="998" w:default="1">
    <w:name w:val="Default Paragraph Font"/>
    <w:uiPriority w:val="1"/>
    <w:semiHidden/>
    <w:unhideWhenUsed/>
  </w:style>
  <w:style w:type="numbering" w:styleId="999" w:default="1">
    <w:name w:val="No List"/>
    <w:uiPriority w:val="99"/>
    <w:semiHidden/>
    <w:unhideWhenUsed/>
  </w:style>
  <w:style w:type="table" w:styleId="10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revision>50</cp:revision>
  <dcterms:created xsi:type="dcterms:W3CDTF">2022-08-25T11:01:00Z</dcterms:created>
  <dcterms:modified xsi:type="dcterms:W3CDTF">2025-09-05T07:33:15Z</dcterms:modified>
  <cp:version>1048576</cp:version>
</cp:coreProperties>
</file>